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AB26" w14:textId="45B8747A" w:rsidR="00536063" w:rsidRPr="006076A1" w:rsidRDefault="00536063" w:rsidP="00E567FE">
      <w:pPr>
        <w:jc w:val="both"/>
        <w:rPr>
          <w:rFonts w:cs="Calibri"/>
          <w:b/>
          <w:bCs/>
          <w:sz w:val="24"/>
          <w:szCs w:val="24"/>
        </w:rPr>
      </w:pPr>
      <w:r w:rsidRPr="006076A1">
        <w:rPr>
          <w:rFonts w:cs="Calibri"/>
          <w:b/>
          <w:bCs/>
          <w:sz w:val="28"/>
          <w:szCs w:val="28"/>
        </w:rPr>
        <w:t>Esborrany</w:t>
      </w:r>
      <w:r w:rsidRPr="006076A1">
        <w:rPr>
          <w:rFonts w:cs="Calibri"/>
          <w:b/>
          <w:bCs/>
          <w:sz w:val="24"/>
          <w:szCs w:val="24"/>
        </w:rPr>
        <w:t xml:space="preserve"> de l'ACORD entre la Conselleria d'Educació, Cultura i Esport i l</w:t>
      </w:r>
      <w:r>
        <w:rPr>
          <w:rFonts w:cs="Calibri"/>
          <w:b/>
          <w:bCs/>
          <w:sz w:val="24"/>
          <w:szCs w:val="24"/>
        </w:rPr>
        <w:t xml:space="preserve">es </w:t>
      </w:r>
      <w:r w:rsidRPr="006076A1">
        <w:rPr>
          <w:rFonts w:cs="Calibri"/>
          <w:b/>
          <w:bCs/>
          <w:sz w:val="24"/>
          <w:szCs w:val="24"/>
        </w:rPr>
        <w:t>organitzacions sindicals i empresarials de l'ensenyament privat concertat relatiu a</w:t>
      </w:r>
      <w:r>
        <w:rPr>
          <w:rFonts w:cs="Calibri"/>
          <w:b/>
          <w:bCs/>
          <w:sz w:val="24"/>
          <w:szCs w:val="24"/>
        </w:rPr>
        <w:t xml:space="preserve"> </w:t>
      </w:r>
      <w:r w:rsidRPr="006076A1"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a</w:t>
      </w:r>
      <w:r w:rsidRPr="006076A1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dotació de professorat de l’especialitat d’Orientació educativa en els centres privats concertats</w:t>
      </w:r>
    </w:p>
    <w:p w14:paraId="2C2C2BCB" w14:textId="3F1CE04A" w:rsidR="00A74181" w:rsidRDefault="00343A3A" w:rsidP="00E567FE">
      <w:pPr>
        <w:jc w:val="both"/>
      </w:pPr>
      <w:r>
        <w:t>La Llei orgànica 3/2020, de 29 de desembre, per la qual es modifica la Llei orgànica 2/2006, de 3 de maig, d’</w:t>
      </w:r>
      <w:r w:rsidR="00A9648A">
        <w:t>E</w:t>
      </w:r>
      <w:r>
        <w:t>ducació, disposa que els</w:t>
      </w:r>
      <w:r w:rsidR="00B22A70">
        <w:t xml:space="preserve"> </w:t>
      </w:r>
      <w:r>
        <w:t>poders públics prestaran una atenció prioritària al conjunt de factors que</w:t>
      </w:r>
      <w:r w:rsidR="00B22A70">
        <w:t xml:space="preserve"> </w:t>
      </w:r>
      <w:r>
        <w:t xml:space="preserve">afavoreixen la qualitat de l’ensenyament, entre els quals es troba l’orientació educativa i professional amb perspectiva de gènere i inclusiva, </w:t>
      </w:r>
      <w:r w:rsidR="00262ADF">
        <w:t>com un dret bàsic de l’alumnat i un mitjà necessari per a l’assoliment</w:t>
      </w:r>
      <w:r w:rsidR="00B22A70">
        <w:t xml:space="preserve"> </w:t>
      </w:r>
      <w:r w:rsidR="00262ADF">
        <w:t xml:space="preserve">d’una formació personalitzada, que </w:t>
      </w:r>
      <w:proofErr w:type="spellStart"/>
      <w:r w:rsidR="00262ADF">
        <w:t>propicie</w:t>
      </w:r>
      <w:proofErr w:type="spellEnd"/>
      <w:r w:rsidR="00262ADF">
        <w:t xml:space="preserve"> una educació integral en</w:t>
      </w:r>
      <w:r w:rsidR="00B22A70">
        <w:t xml:space="preserve"> </w:t>
      </w:r>
      <w:r w:rsidR="00262ADF">
        <w:t xml:space="preserve">coneixements, destreses i valors. Així doncs, l’orientació i l’acció </w:t>
      </w:r>
      <w:proofErr w:type="spellStart"/>
      <w:r w:rsidR="00262ADF">
        <w:t>tutorial</w:t>
      </w:r>
      <w:proofErr w:type="spellEnd"/>
      <w:r w:rsidR="00262ADF">
        <w:t xml:space="preserve"> acompanyen l’alumnat en el procés educatiu, individual i col·lectiu,</w:t>
      </w:r>
      <w:r w:rsidR="00B22A70">
        <w:t xml:space="preserve"> </w:t>
      </w:r>
      <w:r w:rsidR="00262ADF">
        <w:t>al llarg de totes les etapes educatives.</w:t>
      </w:r>
      <w:r w:rsidR="003E331F">
        <w:t xml:space="preserve"> </w:t>
      </w:r>
      <w:r w:rsidR="00DE68B0">
        <w:t>Amb aquest objectiu es planteja l’</w:t>
      </w:r>
      <w:r w:rsidR="009D5A66">
        <w:t>existència de serveis o professionals especialitzats en orientació educativa, psicopedagògica i professional</w:t>
      </w:r>
      <w:r w:rsidR="001019B1">
        <w:t>.</w:t>
      </w:r>
    </w:p>
    <w:p w14:paraId="78EC0A01" w14:textId="604031EB" w:rsidR="00A74181" w:rsidRDefault="00303E2E" w:rsidP="00E567FE">
      <w:pPr>
        <w:jc w:val="both"/>
      </w:pPr>
      <w:r>
        <w:t xml:space="preserve">El Decret 72/2021, de 21 de maig, del Consell, </w:t>
      </w:r>
      <w:r w:rsidR="00F76E69">
        <w:t>d</w:t>
      </w:r>
      <w:r>
        <w:t>’organització de l’orientació educativa i professional en el sistema educatiu valencià</w:t>
      </w:r>
      <w:r w:rsidR="00F76E69">
        <w:t>, té per objecte regular l’organització de l’orientació educativa i professional en el sistema educatiu valencià, perquè, des d’un</w:t>
      </w:r>
      <w:r w:rsidR="007A1872">
        <w:t>a</w:t>
      </w:r>
      <w:r w:rsidR="00F76E69">
        <w:t xml:space="preserve"> vessant de drets, inclusiva, intercultural, amb perspectiva de gènere i de forma cooperativa entre tots els agents implicats, </w:t>
      </w:r>
      <w:proofErr w:type="spellStart"/>
      <w:r w:rsidR="00F76E69">
        <w:t>contribuïsca</w:t>
      </w:r>
      <w:proofErr w:type="spellEnd"/>
      <w:r w:rsidR="00F76E69">
        <w:t xml:space="preserve"> a l’optimització dels processos de desenvolupament personal, social, emocional, acadèmic i professional de l’alumnat, </w:t>
      </w:r>
      <w:proofErr w:type="spellStart"/>
      <w:r w:rsidR="00F76E69">
        <w:t>garantisca</w:t>
      </w:r>
      <w:proofErr w:type="spellEnd"/>
      <w:r w:rsidR="00F76E69">
        <w:t xml:space="preserve"> l’orientació al llarg de tot l’itinerari formatiu i </w:t>
      </w:r>
      <w:proofErr w:type="spellStart"/>
      <w:r w:rsidR="00F76E69">
        <w:t>acompanye</w:t>
      </w:r>
      <w:proofErr w:type="spellEnd"/>
      <w:r w:rsidR="00F76E69">
        <w:t xml:space="preserve"> els centres docents en el procés de transformació cap a la inclusió. </w:t>
      </w:r>
      <w:r w:rsidR="00AF02B4">
        <w:t xml:space="preserve">El seu </w:t>
      </w:r>
      <w:r w:rsidR="00F76E69">
        <w:t>àmbit d’aplicació són els centres docents sostinguts amb fons públics que imparteixen ensenyaments no universitaris.</w:t>
      </w:r>
    </w:p>
    <w:p w14:paraId="19C7F42B" w14:textId="4E009117" w:rsidR="005C2A9C" w:rsidRDefault="005C2A9C" w:rsidP="00E567FE">
      <w:pPr>
        <w:jc w:val="both"/>
      </w:pPr>
      <w:r>
        <w:t xml:space="preserve">Dins d’aquesta organització, el segon nivell està configurat pel professorat de l’especialitat d’Orientació </w:t>
      </w:r>
      <w:r w:rsidR="0094408D">
        <w:t>E</w:t>
      </w:r>
      <w:r>
        <w:t>ducativa que actua directament en els centres</w:t>
      </w:r>
      <w:r w:rsidR="00F0555E">
        <w:t>, que assumeix</w:t>
      </w:r>
      <w:r w:rsidR="00410359">
        <w:t xml:space="preserve">, en les condicions que </w:t>
      </w:r>
      <w:proofErr w:type="spellStart"/>
      <w:r w:rsidR="00410359">
        <w:t>determine</w:t>
      </w:r>
      <w:proofErr w:type="spellEnd"/>
      <w:r w:rsidR="00410359">
        <w:t xml:space="preserve"> la conselleria competent en matèria d’educació,</w:t>
      </w:r>
      <w:r w:rsidR="00F0555E">
        <w:t xml:space="preserve"> </w:t>
      </w:r>
      <w:r w:rsidR="00E73C61">
        <w:t xml:space="preserve">una part de </w:t>
      </w:r>
      <w:r w:rsidR="00F0555E">
        <w:t>les tasques</w:t>
      </w:r>
      <w:r w:rsidR="00410359">
        <w:t xml:space="preserve"> realitzades des dels Serveis Psicopedagògics Escolars</w:t>
      </w:r>
      <w:r w:rsidR="00392C52">
        <w:t xml:space="preserve">. Tot i això, cal tindre en compte que </w:t>
      </w:r>
      <w:r w:rsidR="007B2783">
        <w:t>en el cas dels centres privats concertat</w:t>
      </w:r>
      <w:r w:rsidR="00E73C61">
        <w:t>s</w:t>
      </w:r>
      <w:r w:rsidR="007B2783">
        <w:t>, l</w:t>
      </w:r>
      <w:r w:rsidR="00392C52">
        <w:t>a titularitat, en el marc de l</w:t>
      </w:r>
      <w:r w:rsidR="00E73C61">
        <w:t>’</w:t>
      </w:r>
      <w:r w:rsidR="00392C52">
        <w:t>autonomia pedagògica, organitzativa i de gestió que el seu règim jurídic</w:t>
      </w:r>
      <w:r w:rsidR="007B2783">
        <w:t xml:space="preserve"> </w:t>
      </w:r>
      <w:r w:rsidR="00392C52">
        <w:t xml:space="preserve">li reconeix, </w:t>
      </w:r>
      <w:r w:rsidR="007B2783">
        <w:t>ha d’</w:t>
      </w:r>
      <w:r w:rsidR="00392C52">
        <w:t xml:space="preserve">adaptar allò que es preveu en </w:t>
      </w:r>
      <w:r w:rsidR="007B2783">
        <w:t xml:space="preserve">el Decret </w:t>
      </w:r>
      <w:r w:rsidR="006E54E6">
        <w:t xml:space="preserve">72/2021 </w:t>
      </w:r>
      <w:r w:rsidR="00392C52">
        <w:t>a la normativa</w:t>
      </w:r>
      <w:r w:rsidR="006E54E6">
        <w:t xml:space="preserve"> </w:t>
      </w:r>
      <w:r w:rsidR="00392C52">
        <w:t>pròpia que li és d’aplicació.</w:t>
      </w:r>
    </w:p>
    <w:p w14:paraId="6BC8A0CC" w14:textId="41DD1BE8" w:rsidR="006E54E6" w:rsidRDefault="0046391B" w:rsidP="00E567FE">
      <w:pPr>
        <w:jc w:val="both"/>
      </w:pPr>
      <w:r w:rsidRPr="0073722E">
        <w:t xml:space="preserve">D’altra banda, </w:t>
      </w:r>
      <w:r w:rsidR="002B71B7" w:rsidRPr="0073722E">
        <w:t xml:space="preserve">el punt 2 de la Disposició Transitòria </w:t>
      </w:r>
      <w:r w:rsidR="009038CB" w:rsidRPr="0073722E">
        <w:t xml:space="preserve">Primera </w:t>
      </w:r>
      <w:r w:rsidR="002B71B7" w:rsidRPr="0073722E">
        <w:t xml:space="preserve">del Decret 72/2021, preveu que </w:t>
      </w:r>
      <w:r w:rsidR="0057509B" w:rsidRPr="0073722E">
        <w:t>m</w:t>
      </w:r>
      <w:r w:rsidR="002B71B7" w:rsidRPr="0073722E">
        <w:t xml:space="preserve">entre no es </w:t>
      </w:r>
      <w:proofErr w:type="spellStart"/>
      <w:r w:rsidR="002B71B7" w:rsidRPr="0073722E">
        <w:t>desenvolupe</w:t>
      </w:r>
      <w:proofErr w:type="spellEnd"/>
      <w:r w:rsidR="002B71B7" w:rsidRPr="0073722E">
        <w:t xml:space="preserve"> la normativa reguladora, els centres privats concertats d’educació especial i els centres d’educació infantil i primària que no disposen d’educació secundària obligatòria rebran l’atenció d’orientació educativa a través del Pla d’actuació per a la millora (PAM)</w:t>
      </w:r>
      <w:r w:rsidR="0057509B" w:rsidRPr="0073722E">
        <w:t>, i així s’ha fet durant el curs 2021-2022.</w:t>
      </w:r>
      <w:bookmarkStart w:id="0" w:name="_GoBack"/>
      <w:bookmarkEnd w:id="0"/>
    </w:p>
    <w:p w14:paraId="142DE602" w14:textId="228F763F" w:rsidR="00A55668" w:rsidRPr="0073722E" w:rsidRDefault="00666B0B" w:rsidP="00E567FE">
      <w:pPr>
        <w:jc w:val="both"/>
        <w:rPr>
          <w:color w:val="FF0000"/>
        </w:rPr>
      </w:pPr>
      <w:r>
        <w:t>La Llei 22/2021, de 28 de desembre, de Pressupostos Generals de l’E</w:t>
      </w:r>
      <w:r w:rsidR="006C3075">
        <w:t>stat per a l’any 2022, en el punt Dos de l’A</w:t>
      </w:r>
      <w:r w:rsidR="00AD6078">
        <w:t xml:space="preserve">rticle 13, estableix que </w:t>
      </w:r>
      <w:r w:rsidR="00B80142">
        <w:t xml:space="preserve">als centres docents que </w:t>
      </w:r>
      <w:proofErr w:type="spellStart"/>
      <w:r w:rsidR="00B80142">
        <w:t>tinguen</w:t>
      </w:r>
      <w:proofErr w:type="spellEnd"/>
      <w:r w:rsidR="00B80142">
        <w:t xml:space="preserve"> unitats concertades en tots els cursos de l'Educació Secundària Obligatòria, se'ls dotarà del finançament dels serveis d'orientació educativa a què es refereix l'article 22.3 de la Llei orgànica 2/2006, de 3 de maig, modificat per l'apartat catorze de l'article únic de la Llei orgànica 3/2020, de 29 de desembre. Aquesta dotació es realitzarà sobre la base de calcular l'equivalent a una jornada completa del </w:t>
      </w:r>
      <w:r w:rsidR="00B80142">
        <w:lastRenderedPageBreak/>
        <w:t xml:space="preserve">professional adequat a </w:t>
      </w:r>
      <w:r w:rsidR="00B80142" w:rsidRPr="0073722E">
        <w:t>aquestes funcions, per cada 25 unitats concertades d'Educació Secundària Obligatòria</w:t>
      </w:r>
      <w:r w:rsidR="0073722E" w:rsidRPr="0073722E">
        <w:t>.</w:t>
      </w:r>
      <w:r w:rsidR="00B80142" w:rsidRPr="0073722E">
        <w:rPr>
          <w:color w:val="FF0000"/>
        </w:rPr>
        <w:t xml:space="preserve"> </w:t>
      </w:r>
      <w:r w:rsidR="00B80142" w:rsidRPr="0073722E">
        <w:t xml:space="preserve">Per tant, els centres concertats tindran dret a la jornada corresponent del citat professional, en funció del nombre d'unitats d'Educació Secundària Obligatòria que </w:t>
      </w:r>
      <w:proofErr w:type="spellStart"/>
      <w:r w:rsidR="00B80142" w:rsidRPr="0073722E">
        <w:t>tinguen</w:t>
      </w:r>
      <w:proofErr w:type="spellEnd"/>
      <w:r w:rsidR="00B80142" w:rsidRPr="0073722E">
        <w:t xml:space="preserve"> concertades. </w:t>
      </w:r>
    </w:p>
    <w:p w14:paraId="2A1839F3" w14:textId="3EB98E16" w:rsidR="005E01D9" w:rsidRDefault="00D0259B" w:rsidP="00E567FE">
      <w:pPr>
        <w:jc w:val="both"/>
      </w:pPr>
      <w:r w:rsidRPr="0073722E">
        <w:t xml:space="preserve">Per la seua banda, </w:t>
      </w:r>
      <w:r w:rsidR="00C40DC2" w:rsidRPr="0073722E">
        <w:t xml:space="preserve">l’apartat </w:t>
      </w:r>
      <w:r w:rsidR="00440C7F" w:rsidRPr="0073722E">
        <w:t xml:space="preserve">5 de l’article 11 de la Llei 8/2021, de 30 de desembre, de Pressupostos de la Generalitat per a l’exercici 2022 preveu que </w:t>
      </w:r>
      <w:r w:rsidR="00E64BD6" w:rsidRPr="0073722E">
        <w:t>e</w:t>
      </w:r>
      <w:r w:rsidR="0079591B" w:rsidRPr="0073722E">
        <w:t xml:space="preserve">ls centres que </w:t>
      </w:r>
      <w:proofErr w:type="spellStart"/>
      <w:r w:rsidR="0079591B" w:rsidRPr="0073722E">
        <w:t>impartisquen</w:t>
      </w:r>
      <w:proofErr w:type="spellEnd"/>
      <w:r w:rsidR="0079591B" w:rsidRPr="0073722E">
        <w:t xml:space="preserve"> l’educació secundària obligatòria completa comptaran amb una persona que preste els serveis d’orientació, que s’inclourà en la nòmina de pagament delegat del centre.</w:t>
      </w:r>
      <w:r w:rsidR="0079591B">
        <w:t xml:space="preserve"> Els costos corresponents a les hores d’orientació estan recollits en els mòduls econòmics per unitat escolar de l’educació secundària obligatòria</w:t>
      </w:r>
      <w:r w:rsidR="005E01D9">
        <w:t>.</w:t>
      </w:r>
    </w:p>
    <w:p w14:paraId="361955C4" w14:textId="3E8CB1C3" w:rsidR="001969B1" w:rsidRDefault="005E01D9" w:rsidP="00E567FE">
      <w:pPr>
        <w:jc w:val="both"/>
      </w:pPr>
      <w:r>
        <w:t xml:space="preserve">De tot el que s’ha exposat es dedueix que els centres privats concertats </w:t>
      </w:r>
      <w:r w:rsidR="005D7DB5">
        <w:t xml:space="preserve">ja </w:t>
      </w:r>
      <w:r>
        <w:t>tenen coberta</w:t>
      </w:r>
      <w:r w:rsidR="003624BA" w:rsidRPr="003624BA">
        <w:t xml:space="preserve"> </w:t>
      </w:r>
      <w:r w:rsidR="003624BA">
        <w:t>l’orientació educativa i professional en l’etapa d’Educació Secundària Obligatòria</w:t>
      </w:r>
      <w:r>
        <w:t xml:space="preserve"> </w:t>
      </w:r>
      <w:r w:rsidR="005D7DB5">
        <w:t xml:space="preserve">dins </w:t>
      </w:r>
      <w:r w:rsidR="00E64BD6">
        <w:t>d</w:t>
      </w:r>
      <w:r w:rsidR="005D7DB5">
        <w:t>els mòduls econòmics del concert educatiu</w:t>
      </w:r>
      <w:r w:rsidR="001A23BE">
        <w:t xml:space="preserve">. </w:t>
      </w:r>
    </w:p>
    <w:p w14:paraId="0ABC7199" w14:textId="0F043B43" w:rsidR="00A74181" w:rsidRDefault="0016232C" w:rsidP="00E567FE">
      <w:pPr>
        <w:jc w:val="both"/>
      </w:pPr>
      <w:r>
        <w:t xml:space="preserve">El punt 1 de la Disposició Final Primera del Decret </w:t>
      </w:r>
      <w:r w:rsidR="00053EE3">
        <w:t>72/2021</w:t>
      </w:r>
      <w:r w:rsidR="00F61F60">
        <w:t xml:space="preserve"> </w:t>
      </w:r>
      <w:r>
        <w:t>autoritza la persona titular i els centres directius de la conselleria competent en matèria d’educació perquè dicten les disposicions necessàries per al desenvolupament d’aquest decret i que permeten l’organització i el funcionament de les noves estructures de l’orientació educativa i professional des de la seua entrada en vigo</w:t>
      </w:r>
      <w:r w:rsidR="00B163A8">
        <w:t>r. P</w:t>
      </w:r>
      <w:r w:rsidR="00053EE3">
        <w:t>er això, a</w:t>
      </w:r>
      <w:r w:rsidR="001969B1">
        <w:t>mb l’objectiu de do</w:t>
      </w:r>
      <w:r w:rsidR="001A23BE">
        <w:t>tar</w:t>
      </w:r>
      <w:r w:rsidR="001969B1">
        <w:t xml:space="preserve"> els centres privats concertats </w:t>
      </w:r>
      <w:r w:rsidR="001A23BE">
        <w:t xml:space="preserve">dels recursos necessaris perquè </w:t>
      </w:r>
      <w:r w:rsidR="009C7DF6">
        <w:t xml:space="preserve">l’orientació educativa i professional </w:t>
      </w:r>
      <w:r w:rsidR="001A23BE">
        <w:t xml:space="preserve">es </w:t>
      </w:r>
      <w:proofErr w:type="spellStart"/>
      <w:r w:rsidR="001A23BE">
        <w:t>puga</w:t>
      </w:r>
      <w:proofErr w:type="spellEnd"/>
      <w:r w:rsidR="001A23BE">
        <w:t xml:space="preserve"> realitzar en la resta d’etapes concertades</w:t>
      </w:r>
      <w:r w:rsidR="00F61F60">
        <w:t>,</w:t>
      </w:r>
      <w:r w:rsidR="009C7DF6">
        <w:t xml:space="preserve"> la Conselleria d’Educació, Cultura i Esport i les </w:t>
      </w:r>
      <w:r w:rsidR="009C7DF6" w:rsidRPr="009C7DF6">
        <w:t xml:space="preserve">organitzacions sindicals i empresarials de l'ensenyament privat concertat </w:t>
      </w:r>
    </w:p>
    <w:p w14:paraId="1C275B99" w14:textId="35416ADA" w:rsidR="00CC4C73" w:rsidRPr="00E567FE" w:rsidRDefault="00CC4C73" w:rsidP="00E567FE">
      <w:pPr>
        <w:jc w:val="center"/>
        <w:rPr>
          <w:b/>
          <w:bCs/>
        </w:rPr>
      </w:pPr>
      <w:r w:rsidRPr="00E567FE">
        <w:rPr>
          <w:b/>
          <w:bCs/>
        </w:rPr>
        <w:t>ACORDEN</w:t>
      </w:r>
    </w:p>
    <w:p w14:paraId="29ACF175" w14:textId="5515DC4B" w:rsidR="00CC4C73" w:rsidRDefault="00CC4C73" w:rsidP="00E567FE">
      <w:pPr>
        <w:jc w:val="both"/>
      </w:pPr>
      <w:r w:rsidRPr="00BE69E4">
        <w:rPr>
          <w:b/>
          <w:bCs/>
        </w:rPr>
        <w:t>Primer.</w:t>
      </w:r>
      <w:r>
        <w:t xml:space="preserve"> Establir la dotació del professorat de l’especialitat d’Orientació Educativa en els ensenyaments que cada centre </w:t>
      </w:r>
      <w:proofErr w:type="spellStart"/>
      <w:r>
        <w:t>tinga</w:t>
      </w:r>
      <w:proofErr w:type="spellEnd"/>
      <w:r>
        <w:t xml:space="preserve"> concertats d’acord amb els criteris següents:</w:t>
      </w:r>
    </w:p>
    <w:p w14:paraId="42B10735" w14:textId="74D345E8" w:rsidR="00CC4C73" w:rsidRPr="00AD1A20" w:rsidRDefault="00CC4C73" w:rsidP="00E567FE">
      <w:pPr>
        <w:pStyle w:val="Prrafodelista"/>
        <w:numPr>
          <w:ilvl w:val="0"/>
          <w:numId w:val="3"/>
        </w:numPr>
        <w:jc w:val="both"/>
      </w:pPr>
      <w:r w:rsidRPr="00AD1A20">
        <w:t>Educació infantil i primària</w:t>
      </w:r>
    </w:p>
    <w:p w14:paraId="682DD69B" w14:textId="6538FF10" w:rsidR="00FE1053" w:rsidRDefault="00141629" w:rsidP="00E567FE">
      <w:pPr>
        <w:pStyle w:val="Prrafodelista"/>
        <w:jc w:val="both"/>
      </w:pPr>
      <w:r>
        <w:t xml:space="preserve">S’assignen les hores de l’especialitat d’Orientació Educativa segons el que </w:t>
      </w:r>
      <w:r w:rsidR="00B81A1D">
        <w:t>figura en la taula següent:</w:t>
      </w:r>
    </w:p>
    <w:tbl>
      <w:tblPr>
        <w:tblW w:w="6237" w:type="dxa"/>
        <w:tblCellSpacing w:w="0" w:type="dxa"/>
        <w:tblInd w:w="70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4"/>
        <w:gridCol w:w="2693"/>
      </w:tblGrid>
      <w:tr w:rsidR="00B81A1D" w:rsidRPr="00B81A1D" w14:paraId="5733A3A8" w14:textId="77777777" w:rsidTr="00FD70D1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1700F7" w14:textId="16E7605E" w:rsidR="00B81A1D" w:rsidRPr="00B81A1D" w:rsidRDefault="00B81A1D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UNI</w:t>
            </w:r>
            <w:r w:rsidR="00EF5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TAT</w:t>
            </w:r>
            <w:r w:rsidRPr="00B81A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8CEB82" w14:textId="08E76C58" w:rsidR="00B81A1D" w:rsidRPr="00B81A1D" w:rsidRDefault="00EF58E6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HORES</w:t>
            </w:r>
          </w:p>
        </w:tc>
      </w:tr>
      <w:tr w:rsidR="00B81A1D" w:rsidRPr="00B81A1D" w14:paraId="06DAAC7D" w14:textId="77777777" w:rsidTr="00FD70D1">
        <w:trPr>
          <w:tblCellSpacing w:w="0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0AA983" w14:textId="4D7376A2" w:rsidR="00B81A1D" w:rsidRPr="00B81A1D" w:rsidRDefault="00B81A1D" w:rsidP="00E567FE">
            <w:pPr>
              <w:spacing w:before="100" w:beforeAutospacing="1"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Entre 5 </w:t>
            </w:r>
            <w:r w:rsidR="00EF5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i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10 uni</w:t>
            </w:r>
            <w:r w:rsidR="00EF5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tat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s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15BC04" w14:textId="06BAAF34" w:rsidR="00B81A1D" w:rsidRPr="00B81A1D" w:rsidRDefault="00B81A1D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10</w:t>
            </w:r>
            <w:r w:rsidR="00B02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B81A1D" w:rsidRPr="00B81A1D" w14:paraId="50E3ED2B" w14:textId="77777777" w:rsidTr="00FD70D1">
        <w:trPr>
          <w:tblCellSpacing w:w="0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17F262" w14:textId="767D12A5" w:rsidR="00B81A1D" w:rsidRPr="00B81A1D" w:rsidRDefault="00B81A1D" w:rsidP="00E567FE">
            <w:pPr>
              <w:spacing w:before="100" w:beforeAutospacing="1"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M</w:t>
            </w:r>
            <w:r w:rsidR="00EF5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é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s de 10 </w:t>
            </w:r>
            <w:r w:rsidR="00FD70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i fins a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18 uni</w:t>
            </w:r>
            <w:r w:rsidR="00FD70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tat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BA4B34" w14:textId="28439D9E" w:rsidR="00B81A1D" w:rsidRPr="00B81A1D" w:rsidRDefault="00B81A1D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15</w:t>
            </w:r>
            <w:r w:rsidR="00B02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B81A1D" w:rsidRPr="00B81A1D" w14:paraId="0B3B3FCE" w14:textId="77777777" w:rsidTr="00FD70D1">
        <w:trPr>
          <w:tblCellSpacing w:w="0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0E7E4F" w14:textId="60ABA6F4" w:rsidR="00B81A1D" w:rsidRPr="00B81A1D" w:rsidRDefault="00B81A1D" w:rsidP="00E567FE">
            <w:pPr>
              <w:spacing w:before="100" w:beforeAutospacing="1"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M</w:t>
            </w:r>
            <w:r w:rsidR="00FD70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é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s de 19 uni</w:t>
            </w:r>
            <w:r w:rsidR="00FD70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a</w:t>
            </w:r>
            <w:r w:rsidR="00FD70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E1087EB" w14:textId="0A53B4A7" w:rsidR="00B81A1D" w:rsidRPr="00B81A1D" w:rsidRDefault="00B81A1D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20</w:t>
            </w:r>
            <w:r w:rsidR="00B02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</w:tr>
    </w:tbl>
    <w:p w14:paraId="569DF396" w14:textId="77777777" w:rsidR="00B81A1D" w:rsidRDefault="00B81A1D" w:rsidP="00E567FE">
      <w:pPr>
        <w:pStyle w:val="Prrafodelista"/>
        <w:jc w:val="both"/>
      </w:pPr>
    </w:p>
    <w:p w14:paraId="43B2D497" w14:textId="40B7D08F" w:rsidR="00CC4C73" w:rsidRDefault="00CC4C73" w:rsidP="00E567FE">
      <w:pPr>
        <w:pStyle w:val="Prrafodelista"/>
        <w:numPr>
          <w:ilvl w:val="0"/>
          <w:numId w:val="3"/>
        </w:numPr>
        <w:jc w:val="both"/>
      </w:pPr>
      <w:r>
        <w:t>Educació secundària</w:t>
      </w:r>
    </w:p>
    <w:p w14:paraId="66C8E161" w14:textId="0F91DCE2" w:rsidR="00CC4C73" w:rsidRPr="008F7B87" w:rsidRDefault="00141629" w:rsidP="00E567FE">
      <w:pPr>
        <w:pStyle w:val="Prrafodelista"/>
        <w:jc w:val="both"/>
        <w:rPr>
          <w:color w:val="FF0000"/>
        </w:rPr>
      </w:pPr>
      <w:r>
        <w:t xml:space="preserve">S’assigna </w:t>
      </w:r>
      <w:r w:rsidR="00CC4C73">
        <w:t>1 hora d</w:t>
      </w:r>
      <w:r>
        <w:t>e l’</w:t>
      </w:r>
      <w:r w:rsidR="00CC4C73">
        <w:t>especialita</w:t>
      </w:r>
      <w:r w:rsidR="008E5CC1">
        <w:t xml:space="preserve">t d’Orientació Educativa per cada unitat concertada de batxillerat </w:t>
      </w:r>
      <w:r w:rsidR="00766217">
        <w:t>o cicles formatius</w:t>
      </w:r>
      <w:r w:rsidR="00B163A8">
        <w:t xml:space="preserve">, fins a un màxim de 20 hores i sempre que el nombre total d’unitats concertades del centre </w:t>
      </w:r>
      <w:proofErr w:type="spellStart"/>
      <w:r w:rsidR="00B163A8" w:rsidRPr="003542F8">
        <w:t>siga</w:t>
      </w:r>
      <w:proofErr w:type="spellEnd"/>
      <w:r w:rsidR="00B163A8" w:rsidRPr="003542F8">
        <w:t xml:space="preserve"> major que 4.</w:t>
      </w:r>
      <w:r w:rsidR="008F7B87">
        <w:t xml:space="preserve"> </w:t>
      </w:r>
    </w:p>
    <w:p w14:paraId="6A68CC3F" w14:textId="68BDBC5E" w:rsidR="00B163A8" w:rsidRDefault="00B163A8" w:rsidP="00E567FE">
      <w:pPr>
        <w:pStyle w:val="Prrafodelista"/>
        <w:jc w:val="both"/>
      </w:pPr>
    </w:p>
    <w:p w14:paraId="51F05217" w14:textId="77777777" w:rsidR="00B163A8" w:rsidRDefault="00B163A8" w:rsidP="00E567FE">
      <w:pPr>
        <w:pStyle w:val="Prrafodelista"/>
        <w:jc w:val="both"/>
      </w:pPr>
    </w:p>
    <w:p w14:paraId="1EAAABDD" w14:textId="31270356" w:rsidR="00CC4C73" w:rsidRPr="003542F8" w:rsidRDefault="00CC4C73" w:rsidP="00E567FE">
      <w:pPr>
        <w:pStyle w:val="Prrafodelista"/>
        <w:numPr>
          <w:ilvl w:val="0"/>
          <w:numId w:val="3"/>
        </w:numPr>
        <w:jc w:val="both"/>
      </w:pPr>
      <w:r w:rsidRPr="003542F8">
        <w:lastRenderedPageBreak/>
        <w:t>Centres específics d’educació especial</w:t>
      </w:r>
    </w:p>
    <w:p w14:paraId="0B5E510D" w14:textId="77777777" w:rsidR="00B90220" w:rsidRDefault="00B90220" w:rsidP="00434CF4">
      <w:pPr>
        <w:pStyle w:val="Prrafodelista"/>
        <w:jc w:val="both"/>
      </w:pPr>
      <w:r>
        <w:t>S’assignen les hores de l’especialitat d’Orientació Educativa segons el que figura en la taula següent:</w:t>
      </w:r>
    </w:p>
    <w:tbl>
      <w:tblPr>
        <w:tblW w:w="6237" w:type="dxa"/>
        <w:tblCellSpacing w:w="0" w:type="dxa"/>
        <w:tblInd w:w="70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4"/>
        <w:gridCol w:w="2693"/>
      </w:tblGrid>
      <w:tr w:rsidR="00B90220" w:rsidRPr="00B81A1D" w14:paraId="115A6533" w14:textId="77777777" w:rsidTr="00A60E16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C580C28" w14:textId="77777777" w:rsidR="00B90220" w:rsidRPr="00B81A1D" w:rsidRDefault="00B90220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UNI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TAT</w:t>
            </w:r>
            <w:r w:rsidRPr="00B81A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D7295C" w14:textId="77777777" w:rsidR="00B90220" w:rsidRPr="00B81A1D" w:rsidRDefault="00B90220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HORES</w:t>
            </w:r>
          </w:p>
        </w:tc>
      </w:tr>
      <w:tr w:rsidR="00B90220" w:rsidRPr="00B81A1D" w14:paraId="531C9E03" w14:textId="77777777" w:rsidTr="00A60E16">
        <w:trPr>
          <w:tblCellSpacing w:w="0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E90089" w14:textId="6F979C97" w:rsidR="00B90220" w:rsidRPr="00B81A1D" w:rsidRDefault="00646BD6" w:rsidP="00E567FE">
            <w:pPr>
              <w:spacing w:before="100" w:beforeAutospacing="1"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Fins a 3</w:t>
            </w:r>
            <w:r w:rsidR="00B90220"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uni</w:t>
            </w:r>
            <w:r w:rsidR="00B902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</w:t>
            </w:r>
            <w:r w:rsidR="00B90220"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a</w:t>
            </w:r>
            <w:r w:rsidR="00B902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</w:t>
            </w:r>
            <w:r w:rsidR="00B90220"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s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C66BA7" w14:textId="1145A405" w:rsidR="00B90220" w:rsidRPr="00B81A1D" w:rsidRDefault="00B90220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10</w:t>
            </w:r>
          </w:p>
        </w:tc>
      </w:tr>
      <w:tr w:rsidR="00B90220" w:rsidRPr="00B81A1D" w14:paraId="5289D6E6" w14:textId="77777777" w:rsidTr="00A60E16">
        <w:trPr>
          <w:tblCellSpacing w:w="0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41E7E3" w14:textId="638C1141" w:rsidR="00B90220" w:rsidRPr="00B81A1D" w:rsidRDefault="00B90220" w:rsidP="00E567FE">
            <w:pPr>
              <w:spacing w:before="100" w:beforeAutospacing="1"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é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s de </w:t>
            </w:r>
            <w:r w:rsidR="00BE6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3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uni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tat</w:t>
            </w:r>
            <w:r w:rsidRPr="00B81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69E52E" w14:textId="60C1EE2F" w:rsidR="00B90220" w:rsidRPr="00B81A1D" w:rsidRDefault="00BE69E4" w:rsidP="00DE2F87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20</w:t>
            </w:r>
          </w:p>
        </w:tc>
      </w:tr>
    </w:tbl>
    <w:p w14:paraId="6356BA9C" w14:textId="77777777" w:rsidR="00AA160E" w:rsidRDefault="00AA160E" w:rsidP="00AA160E">
      <w:pPr>
        <w:pStyle w:val="Prrafodelista"/>
        <w:jc w:val="both"/>
      </w:pPr>
    </w:p>
    <w:p w14:paraId="5119CF35" w14:textId="77777777" w:rsidR="00AD1A20" w:rsidRPr="00AD1A20" w:rsidRDefault="00EE7FF5" w:rsidP="00234883">
      <w:pPr>
        <w:pStyle w:val="Prrafodelista"/>
        <w:numPr>
          <w:ilvl w:val="0"/>
          <w:numId w:val="3"/>
        </w:numPr>
        <w:jc w:val="both"/>
      </w:pPr>
      <w:r>
        <w:t xml:space="preserve">L’assignació màxima </w:t>
      </w:r>
      <w:r w:rsidR="00C412C8">
        <w:t xml:space="preserve">per a </w:t>
      </w:r>
      <w:r w:rsidR="00273F62">
        <w:t>cada</w:t>
      </w:r>
      <w:r w:rsidR="00C412C8">
        <w:t xml:space="preserve"> centre </w:t>
      </w:r>
      <w:r>
        <w:t>serà</w:t>
      </w:r>
      <w:r w:rsidR="00C412C8">
        <w:t xml:space="preserve"> de 50 hores</w:t>
      </w:r>
      <w:r w:rsidR="00AA160E">
        <w:t>,</w:t>
      </w:r>
      <w:r w:rsidR="00C412C8">
        <w:t xml:space="preserve"> </w:t>
      </w:r>
      <w:r w:rsidR="00C412C8" w:rsidRPr="00AD1A20">
        <w:t xml:space="preserve">a les quals caldrà descomptar la dotació existent per Educació Secundària </w:t>
      </w:r>
      <w:r w:rsidR="00273F62" w:rsidRPr="00AD1A20">
        <w:t>Obligatòria.</w:t>
      </w:r>
      <w:r w:rsidR="0077086E" w:rsidRPr="00AD1A20">
        <w:t xml:space="preserve"> </w:t>
      </w:r>
    </w:p>
    <w:p w14:paraId="2435599F" w14:textId="2966355C" w:rsidR="00CC4C73" w:rsidRDefault="00BE69E4" w:rsidP="00AD1A20">
      <w:pPr>
        <w:ind w:left="360"/>
        <w:jc w:val="both"/>
      </w:pPr>
      <w:r w:rsidRPr="00AD1A20">
        <w:rPr>
          <w:b/>
          <w:bCs/>
        </w:rPr>
        <w:t>Segon.</w:t>
      </w:r>
      <w:r>
        <w:t xml:space="preserve"> </w:t>
      </w:r>
      <w:r w:rsidRPr="00AD1A20">
        <w:t>Calendari d’aplicació</w:t>
      </w:r>
    </w:p>
    <w:p w14:paraId="08DE3D1C" w14:textId="5931158F" w:rsidR="00AC66AD" w:rsidRDefault="00AC66AD" w:rsidP="00E567FE">
      <w:pPr>
        <w:jc w:val="both"/>
      </w:pPr>
      <w:r>
        <w:t xml:space="preserve">La dotació total de les hores assignades es realitzarà en el termini </w:t>
      </w:r>
      <w:r w:rsidRPr="00AD1A20">
        <w:t>de dos cursos escolars</w:t>
      </w:r>
      <w:r>
        <w:t>. A l’inici del curs escolar 2022-2023 es dota</w:t>
      </w:r>
      <w:r w:rsidR="00A8270E">
        <w:t>rà</w:t>
      </w:r>
      <w:r>
        <w:t xml:space="preserve"> el 50% de les hores i a l’inici del curs escolar 2023-2024</w:t>
      </w:r>
      <w:r w:rsidR="0099607E">
        <w:t xml:space="preserve"> es completarà la dotació total.</w:t>
      </w:r>
    </w:p>
    <w:p w14:paraId="7DA52EA6" w14:textId="2C9D91D7" w:rsidR="0099607E" w:rsidRDefault="00896FA1" w:rsidP="00E567FE">
      <w:pPr>
        <w:jc w:val="both"/>
      </w:pPr>
      <w:r w:rsidRPr="00E567FE">
        <w:rPr>
          <w:b/>
          <w:bCs/>
        </w:rPr>
        <w:t>Tercer.</w:t>
      </w:r>
      <w:r>
        <w:t xml:space="preserve"> Pressupost i mòduls econòmics</w:t>
      </w:r>
    </w:p>
    <w:p w14:paraId="7D74D77E" w14:textId="3B7255CF" w:rsidR="00AC66AD" w:rsidRDefault="0043793B" w:rsidP="00D66C1F">
      <w:pPr>
        <w:jc w:val="both"/>
      </w:pPr>
      <w:r>
        <w:t xml:space="preserve">Les hores de l’especialitat d’Orientació Educativa </w:t>
      </w:r>
      <w:r w:rsidRPr="00AD1A20">
        <w:t xml:space="preserve">s’inclouran dins el pagament delegat dels centres concertats i en els mòduls econòmics que reben les </w:t>
      </w:r>
      <w:r w:rsidR="00B64C8E" w:rsidRPr="00AD1A20">
        <w:t xml:space="preserve">cooperatives </w:t>
      </w:r>
      <w:r w:rsidR="00D66C1F" w:rsidRPr="00AD1A20">
        <w:t>d’ensenyament subjectes al règim específic de finançament.</w:t>
      </w:r>
    </w:p>
    <w:p w14:paraId="5CF29C95" w14:textId="26B5AECC" w:rsidR="00AC66AD" w:rsidRDefault="00680F0A" w:rsidP="00E567FE">
      <w:pPr>
        <w:jc w:val="both"/>
      </w:pPr>
      <w:r>
        <w:t>Per poder incloure aquesta dotació d’hores en el concert educatiu s’han d’establir els corresponents mòduls econòmics que han de figurar en l’</w:t>
      </w:r>
      <w:r w:rsidR="00DB1C65">
        <w:t>a</w:t>
      </w:r>
      <w:r>
        <w:t xml:space="preserve">nnex </w:t>
      </w:r>
      <w:r w:rsidR="00427B72">
        <w:t>que recull</w:t>
      </w:r>
      <w:r w:rsidR="00150ED1">
        <w:t xml:space="preserve"> els mòduls econòmics de l’ensenyament concertat </w:t>
      </w:r>
      <w:r w:rsidR="00C725DD">
        <w:t>de l</w:t>
      </w:r>
      <w:r w:rsidR="00427B72">
        <w:t>a</w:t>
      </w:r>
      <w:r w:rsidR="00C725DD">
        <w:t xml:space="preserve"> llei de pressupostos de la Generalitat.</w:t>
      </w:r>
    </w:p>
    <w:p w14:paraId="555B344C" w14:textId="38B0A9DB" w:rsidR="00C725DD" w:rsidRDefault="00C725DD" w:rsidP="00E567FE">
      <w:pPr>
        <w:jc w:val="both"/>
      </w:pPr>
      <w:r>
        <w:t xml:space="preserve">Per al període </w:t>
      </w:r>
      <w:r w:rsidR="00427B72">
        <w:t xml:space="preserve">que va </w:t>
      </w:r>
      <w:r>
        <w:t xml:space="preserve">de setembre a desembre de 2022 </w:t>
      </w:r>
      <w:r w:rsidR="00E631B3">
        <w:t xml:space="preserve">s’estableixen </w:t>
      </w:r>
      <w:r>
        <w:t xml:space="preserve">els mòduls econòmics </w:t>
      </w:r>
      <w:r w:rsidR="004C4980">
        <w:t>per a una unitat completa (25 hores</w:t>
      </w:r>
      <w:r w:rsidR="00AC5085">
        <w:t xml:space="preserve"> de professorat</w:t>
      </w:r>
      <w:r w:rsidR="004C4980">
        <w:t xml:space="preserve">) </w:t>
      </w:r>
      <w:r w:rsidR="00E631B3">
        <w:t>que es pagaran de manera proporcional a l’assignació</w:t>
      </w:r>
      <w:r w:rsidR="00C80022">
        <w:t xml:space="preserve"> realitzada</w:t>
      </w:r>
      <w:r w:rsidR="00E631B3">
        <w:t xml:space="preserve">. D’acord </w:t>
      </w:r>
      <w:r w:rsidR="00C80022">
        <w:t>amb</w:t>
      </w:r>
      <w:r w:rsidR="00E631B3">
        <w:t xml:space="preserve"> les taules salarials publicades en el VII Conveni col·lectiu d’empreses d’ensenyament privat sostingudes totalment o parcialment amb  fons públics el</w:t>
      </w:r>
      <w:r w:rsidR="00AA160E">
        <w:t>s</w:t>
      </w:r>
      <w:r w:rsidR="00E631B3">
        <w:t xml:space="preserve"> mòduls seran</w:t>
      </w:r>
      <w:r>
        <w:t>:</w:t>
      </w: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1985"/>
        <w:gridCol w:w="1559"/>
      </w:tblGrid>
      <w:tr w:rsidR="003545FC" w14:paraId="02D0CB6A" w14:textId="217CC073" w:rsidTr="00651044">
        <w:tc>
          <w:tcPr>
            <w:tcW w:w="3119" w:type="dxa"/>
          </w:tcPr>
          <w:p w14:paraId="7D7C16BF" w14:textId="77777777" w:rsidR="003545FC" w:rsidRPr="00651044" w:rsidRDefault="003545FC" w:rsidP="00E56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81A742" w14:textId="20EF5673" w:rsidR="003545FC" w:rsidRPr="00651044" w:rsidRDefault="003545FC" w:rsidP="00E567FE">
            <w:pPr>
              <w:jc w:val="both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Salaris i costos socials</w:t>
            </w:r>
          </w:p>
        </w:tc>
        <w:tc>
          <w:tcPr>
            <w:tcW w:w="1985" w:type="dxa"/>
          </w:tcPr>
          <w:p w14:paraId="34FA5662" w14:textId="7165D662" w:rsidR="003545FC" w:rsidRPr="00651044" w:rsidRDefault="003545FC" w:rsidP="00E567FE">
            <w:pPr>
              <w:jc w:val="both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Despeses variables</w:t>
            </w:r>
          </w:p>
        </w:tc>
        <w:tc>
          <w:tcPr>
            <w:tcW w:w="1559" w:type="dxa"/>
          </w:tcPr>
          <w:p w14:paraId="49EFC0C9" w14:textId="0C6C6520" w:rsidR="003545FC" w:rsidRPr="00651044" w:rsidRDefault="003545FC" w:rsidP="00E567FE">
            <w:pPr>
              <w:jc w:val="both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Total mòdul</w:t>
            </w:r>
          </w:p>
        </w:tc>
      </w:tr>
      <w:tr w:rsidR="00E631B3" w14:paraId="3923DD89" w14:textId="77777777" w:rsidTr="009E4DCC">
        <w:tc>
          <w:tcPr>
            <w:tcW w:w="3119" w:type="dxa"/>
            <w:vAlign w:val="center"/>
          </w:tcPr>
          <w:p w14:paraId="7C217983" w14:textId="79DF4A18" w:rsidR="00E631B3" w:rsidRPr="00E631B3" w:rsidRDefault="00E631B3" w:rsidP="00E631B3">
            <w:pPr>
              <w:jc w:val="both"/>
              <w:rPr>
                <w:sz w:val="20"/>
                <w:szCs w:val="20"/>
              </w:rPr>
            </w:pPr>
            <w:r w:rsidRPr="00E631B3">
              <w:rPr>
                <w:sz w:val="20"/>
                <w:szCs w:val="20"/>
              </w:rPr>
              <w:t>Orientació educativa i professional educació infantil i primària</w:t>
            </w:r>
          </w:p>
        </w:tc>
        <w:tc>
          <w:tcPr>
            <w:tcW w:w="2268" w:type="dxa"/>
          </w:tcPr>
          <w:p w14:paraId="2B3F97FE" w14:textId="58924C4B" w:rsidR="00E631B3" w:rsidRPr="00E631B3" w:rsidRDefault="00E631B3" w:rsidP="00E631B3">
            <w:pPr>
              <w:jc w:val="center"/>
              <w:rPr>
                <w:sz w:val="20"/>
                <w:szCs w:val="20"/>
              </w:rPr>
            </w:pPr>
            <w:r w:rsidRPr="00E631B3">
              <w:rPr>
                <w:sz w:val="20"/>
                <w:szCs w:val="20"/>
              </w:rPr>
              <w:t>40.746,25</w:t>
            </w:r>
          </w:p>
        </w:tc>
        <w:tc>
          <w:tcPr>
            <w:tcW w:w="1985" w:type="dxa"/>
          </w:tcPr>
          <w:p w14:paraId="41B6B96D" w14:textId="7F85C105" w:rsidR="00E631B3" w:rsidRPr="00E631B3" w:rsidRDefault="00E631B3" w:rsidP="00E631B3">
            <w:pPr>
              <w:jc w:val="center"/>
              <w:rPr>
                <w:sz w:val="20"/>
                <w:szCs w:val="20"/>
              </w:rPr>
            </w:pPr>
            <w:r w:rsidRPr="00E631B3">
              <w:rPr>
                <w:sz w:val="20"/>
                <w:szCs w:val="20"/>
              </w:rPr>
              <w:t>4.962,74</w:t>
            </w:r>
          </w:p>
        </w:tc>
        <w:tc>
          <w:tcPr>
            <w:tcW w:w="1559" w:type="dxa"/>
            <w:vAlign w:val="center"/>
          </w:tcPr>
          <w:p w14:paraId="4C9632B3" w14:textId="2241B6CE" w:rsidR="00E631B3" w:rsidRPr="00E631B3" w:rsidRDefault="00E631B3" w:rsidP="00E631B3">
            <w:pPr>
              <w:jc w:val="center"/>
              <w:rPr>
                <w:sz w:val="20"/>
                <w:szCs w:val="20"/>
              </w:rPr>
            </w:pPr>
            <w:r w:rsidRPr="00E631B3">
              <w:rPr>
                <w:sz w:val="20"/>
                <w:szCs w:val="20"/>
              </w:rPr>
              <w:t>45.708,99</w:t>
            </w:r>
          </w:p>
        </w:tc>
      </w:tr>
      <w:tr w:rsidR="003545FC" w14:paraId="0E64A7CF" w14:textId="0B1ABF52" w:rsidTr="00651044">
        <w:tc>
          <w:tcPr>
            <w:tcW w:w="3119" w:type="dxa"/>
            <w:vAlign w:val="center"/>
          </w:tcPr>
          <w:p w14:paraId="1F1864DF" w14:textId="477298D6" w:rsidR="003545FC" w:rsidRPr="00651044" w:rsidRDefault="003545FC" w:rsidP="00E567FE">
            <w:pPr>
              <w:jc w:val="both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Orientació educativa i professional</w:t>
            </w:r>
            <w:r w:rsidR="00651044" w:rsidRPr="00651044">
              <w:rPr>
                <w:sz w:val="20"/>
                <w:szCs w:val="20"/>
              </w:rPr>
              <w:t xml:space="preserve"> educació secundària</w:t>
            </w:r>
          </w:p>
        </w:tc>
        <w:tc>
          <w:tcPr>
            <w:tcW w:w="2268" w:type="dxa"/>
            <w:vAlign w:val="center"/>
          </w:tcPr>
          <w:p w14:paraId="05E27DCF" w14:textId="1564C98E" w:rsidR="003545FC" w:rsidRPr="00651044" w:rsidRDefault="003545FC" w:rsidP="00651044">
            <w:pPr>
              <w:jc w:val="center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45.667,98</w:t>
            </w:r>
          </w:p>
        </w:tc>
        <w:tc>
          <w:tcPr>
            <w:tcW w:w="1985" w:type="dxa"/>
            <w:vAlign w:val="center"/>
          </w:tcPr>
          <w:p w14:paraId="5D011A8E" w14:textId="4C958007" w:rsidR="003545FC" w:rsidRPr="00651044" w:rsidRDefault="003545FC" w:rsidP="00651044">
            <w:pPr>
              <w:jc w:val="center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9.044,82</w:t>
            </w:r>
          </w:p>
        </w:tc>
        <w:tc>
          <w:tcPr>
            <w:tcW w:w="1559" w:type="dxa"/>
            <w:vAlign w:val="center"/>
          </w:tcPr>
          <w:p w14:paraId="1C2A661D" w14:textId="01CAE349" w:rsidR="00651044" w:rsidRPr="00651044" w:rsidRDefault="00651044" w:rsidP="00651044">
            <w:pPr>
              <w:jc w:val="center"/>
              <w:rPr>
                <w:sz w:val="20"/>
                <w:szCs w:val="20"/>
              </w:rPr>
            </w:pPr>
            <w:r w:rsidRPr="00651044">
              <w:rPr>
                <w:sz w:val="20"/>
                <w:szCs w:val="20"/>
              </w:rPr>
              <w:t>54.712,81</w:t>
            </w:r>
          </w:p>
        </w:tc>
      </w:tr>
    </w:tbl>
    <w:p w14:paraId="3DB7EC9E" w14:textId="77777777" w:rsidR="00C80022" w:rsidRDefault="00C80022" w:rsidP="00E567FE">
      <w:pPr>
        <w:jc w:val="both"/>
      </w:pPr>
    </w:p>
    <w:p w14:paraId="40EF7800" w14:textId="32BDFDA2" w:rsidR="00C725DD" w:rsidRDefault="00C725DD" w:rsidP="00E567FE">
      <w:pPr>
        <w:jc w:val="both"/>
      </w:pPr>
      <w:r>
        <w:t>A partir de l’1 de gener de 2023 s’estarà a</w:t>
      </w:r>
      <w:r w:rsidR="004C4980">
        <w:t>l</w:t>
      </w:r>
      <w:r>
        <w:t xml:space="preserve"> que </w:t>
      </w:r>
      <w:proofErr w:type="spellStart"/>
      <w:r w:rsidR="00C80022">
        <w:t>figure</w:t>
      </w:r>
      <w:proofErr w:type="spellEnd"/>
      <w:r w:rsidR="00C80022">
        <w:t xml:space="preserve"> </w:t>
      </w:r>
      <w:r w:rsidR="00AA7AFD">
        <w:t xml:space="preserve">en l’annex </w:t>
      </w:r>
      <w:r w:rsidR="00DB1C65">
        <w:t xml:space="preserve">que recull els mòduls econòmics de l’ensenyament concertat </w:t>
      </w:r>
      <w:r w:rsidR="00AA7AFD">
        <w:t>de la corresponent llei de pressupostos de la Generalitat.</w:t>
      </w:r>
    </w:p>
    <w:p w14:paraId="20951DDF" w14:textId="54C9A91F" w:rsidR="001A0A26" w:rsidRDefault="001A0A26" w:rsidP="00E567FE">
      <w:pPr>
        <w:jc w:val="both"/>
      </w:pPr>
      <w:r>
        <w:t>L’aplicació d’aquest acord i la seua memòria econòmica compten amb l’Informe favorable de la Direcció General de Pressupostos.</w:t>
      </w:r>
    </w:p>
    <w:p w14:paraId="201AED15" w14:textId="01D8D777" w:rsidR="007B21A5" w:rsidRPr="00662429" w:rsidRDefault="007B21A5" w:rsidP="00E567FE">
      <w:pPr>
        <w:jc w:val="both"/>
        <w:rPr>
          <w:color w:val="FF0000"/>
        </w:rPr>
      </w:pPr>
    </w:p>
    <w:sectPr w:rsidR="007B21A5" w:rsidRPr="00662429" w:rsidSect="00B163A8">
      <w:headerReference w:type="default" r:id="rId8"/>
      <w:footerReference w:type="default" r:id="rId9"/>
      <w:pgSz w:w="11906" w:h="16838" w:code="9"/>
      <w:pgMar w:top="1418" w:right="1701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3E75" w14:textId="77777777" w:rsidR="00CD0EB7" w:rsidRDefault="00CD0EB7" w:rsidP="00DD688E">
      <w:pPr>
        <w:spacing w:after="0" w:line="240" w:lineRule="auto"/>
      </w:pPr>
      <w:r>
        <w:separator/>
      </w:r>
    </w:p>
  </w:endnote>
  <w:endnote w:type="continuationSeparator" w:id="0">
    <w:p w14:paraId="18E27C57" w14:textId="77777777" w:rsidR="00CD0EB7" w:rsidRDefault="00CD0EB7" w:rsidP="00DD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A5C7" w14:textId="77777777" w:rsidR="00B163A8" w:rsidRDefault="00B163A8" w:rsidP="00611B75">
    <w:pPr>
      <w:pStyle w:val="Piedepgina"/>
      <w:jc w:val="center"/>
    </w:pPr>
  </w:p>
  <w:p w14:paraId="0DCF4510" w14:textId="77777777" w:rsidR="00B163A8" w:rsidRDefault="00B163A8" w:rsidP="00611B75">
    <w:pPr>
      <w:pStyle w:val="Piedepgina"/>
      <w:jc w:val="center"/>
    </w:pPr>
  </w:p>
  <w:p w14:paraId="4BB7A6E7" w14:textId="72A3B7CE" w:rsidR="00611B75" w:rsidRDefault="00611B75" w:rsidP="00611B7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ca-ES-valencia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6ECE" w14:textId="77777777" w:rsidR="00CD0EB7" w:rsidRDefault="00CD0EB7" w:rsidP="00DD688E">
      <w:pPr>
        <w:spacing w:after="0" w:line="240" w:lineRule="auto"/>
      </w:pPr>
      <w:r>
        <w:separator/>
      </w:r>
    </w:p>
  </w:footnote>
  <w:footnote w:type="continuationSeparator" w:id="0">
    <w:p w14:paraId="558754F7" w14:textId="77777777" w:rsidR="00CD0EB7" w:rsidRDefault="00CD0EB7" w:rsidP="00DD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B4F1" w14:textId="4F1EEE34" w:rsidR="00611B75" w:rsidRDefault="00611B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F51F2F" wp14:editId="46981B14">
              <wp:simplePos x="0" y="0"/>
              <wp:positionH relativeFrom="column">
                <wp:posOffset>3907442</wp:posOffset>
              </wp:positionH>
              <wp:positionV relativeFrom="page">
                <wp:posOffset>464185</wp:posOffset>
              </wp:positionV>
              <wp:extent cx="2520315" cy="918210"/>
              <wp:effectExtent l="0" t="0" r="0" b="0"/>
              <wp:wrapSquare wrapText="bothSides"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918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321684" w14:textId="77777777" w:rsidR="00611B75" w:rsidRDefault="00611B75" w:rsidP="00611B75">
                          <w:pPr>
                            <w:pStyle w:val="Contingutdelmarc"/>
                            <w:rPr>
                              <w:b/>
                              <w:color w:val="C80F2E"/>
                              <w:sz w:val="16"/>
                            </w:rPr>
                          </w:pP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t xml:space="preserve">Direcció General de Centres </w:t>
                          </w:r>
                          <w:proofErr w:type="spellStart"/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t>Docents</w:t>
                          </w:r>
                          <w:proofErr w:type="spellEnd"/>
                        </w:p>
                        <w:p w14:paraId="0E9676E2" w14:textId="77777777" w:rsidR="00611B75" w:rsidRDefault="00611B75" w:rsidP="00611B75">
                          <w:pPr>
                            <w:pStyle w:val="Contingutdelmarc"/>
                            <w:rPr>
                              <w:b/>
                              <w:color w:val="C80F2E"/>
                              <w:sz w:val="16"/>
                            </w:rPr>
                          </w:pPr>
                          <w:r>
                            <w:rPr>
                              <w:color w:val="C80F2E"/>
                              <w:sz w:val="16"/>
                            </w:rPr>
                            <w:t>Av. Campanar, 32 · 46015 València</w:t>
                          </w:r>
                        </w:p>
                        <w:p w14:paraId="3D5B8708" w14:textId="77777777" w:rsidR="00611B75" w:rsidRDefault="00611B75" w:rsidP="00611B75">
                          <w:pPr>
                            <w:pStyle w:val="Contingutdelmarc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F51F2F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307.65pt;margin-top:36.55pt;width:198.45pt;height:7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" filled="f" stroked="f">
              <v:textbox inset="0,0,0,0">
                <w:txbxContent>
                  <w:p w14:paraId="1A321684" w14:textId="77777777" w:rsidR="00611B75" w:rsidRDefault="00611B75" w:rsidP="00611B75">
                    <w:pPr>
                      <w:pStyle w:val="Contingutdelmarc"/>
                      <w:rPr>
                        <w:b/>
                        <w:color w:val="C80F2E"/>
                        <w:sz w:val="16"/>
                      </w:rPr>
                    </w:pPr>
                    <w:r>
                      <w:rPr>
                        <w:b/>
                        <w:color w:val="C80F2E"/>
                        <w:sz w:val="16"/>
                      </w:rPr>
                      <w:t xml:space="preserve">Direcció General de Centres </w:t>
                    </w:r>
                    <w:proofErr w:type="spellStart"/>
                    <w:r>
                      <w:rPr>
                        <w:b/>
                        <w:color w:val="C80F2E"/>
                        <w:sz w:val="16"/>
                      </w:rPr>
                      <w:t>Docents</w:t>
                    </w:r>
                    <w:proofErr w:type="spellEnd"/>
                  </w:p>
                  <w:p w14:paraId="0E9676E2" w14:textId="77777777" w:rsidR="00611B75" w:rsidRDefault="00611B75" w:rsidP="00611B75">
                    <w:pPr>
                      <w:pStyle w:val="Contingutdelmarc"/>
                      <w:rPr>
                        <w:b/>
                        <w:color w:val="C80F2E"/>
                        <w:sz w:val="16"/>
                      </w:rPr>
                    </w:pPr>
                    <w:r>
                      <w:rPr>
                        <w:color w:val="C80F2E"/>
                        <w:sz w:val="16"/>
                      </w:rPr>
                      <w:t>Av. Campanar, 32 · 46015 València</w:t>
                    </w:r>
                  </w:p>
                  <w:p w14:paraId="3D5B8708" w14:textId="77777777" w:rsidR="00611B75" w:rsidRDefault="00611B75" w:rsidP="00611B75">
                    <w:pPr>
                      <w:pStyle w:val="Contingutdelmarc"/>
                      <w:rPr>
                        <w:b/>
                        <w:color w:val="C80F2E"/>
                        <w:sz w:val="16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18C6A4A" wp14:editId="1C187FA2">
          <wp:simplePos x="0" y="0"/>
          <wp:positionH relativeFrom="column">
            <wp:posOffset>-876542</wp:posOffset>
          </wp:positionH>
          <wp:positionV relativeFrom="paragraph">
            <wp:posOffset>-417863</wp:posOffset>
          </wp:positionV>
          <wp:extent cx="3244850" cy="1130300"/>
          <wp:effectExtent l="0" t="0" r="0" b="0"/>
          <wp:wrapSquare wrapText="largest"/>
          <wp:docPr id="36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FA1DB" w14:textId="1D5B62AE" w:rsidR="00611B75" w:rsidRDefault="00611B75">
    <w:pPr>
      <w:pStyle w:val="Encabezado"/>
    </w:pPr>
  </w:p>
  <w:p w14:paraId="593FDAC3" w14:textId="5FF82E8E" w:rsidR="00611B75" w:rsidRDefault="00611B75">
    <w:pPr>
      <w:pStyle w:val="Encabezado"/>
    </w:pPr>
  </w:p>
  <w:p w14:paraId="19C18440" w14:textId="5453A089" w:rsidR="00611B75" w:rsidRDefault="00611B75">
    <w:pPr>
      <w:pStyle w:val="Encabezado"/>
    </w:pPr>
  </w:p>
  <w:p w14:paraId="2742928B" w14:textId="77777777" w:rsidR="00611B75" w:rsidRDefault="00611B75">
    <w:pPr>
      <w:pStyle w:val="Encabezado"/>
    </w:pPr>
  </w:p>
  <w:p w14:paraId="61756D7F" w14:textId="29628660" w:rsidR="00DD688E" w:rsidRDefault="00DD688E">
    <w:pPr>
      <w:pStyle w:val="Encabezado"/>
    </w:pPr>
  </w:p>
  <w:p w14:paraId="43C9E578" w14:textId="3009C005" w:rsidR="00611B75" w:rsidRDefault="00611B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615A"/>
    <w:multiLevelType w:val="hybridMultilevel"/>
    <w:tmpl w:val="3A8ED5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1581"/>
    <w:multiLevelType w:val="hybridMultilevel"/>
    <w:tmpl w:val="CA18708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1F52"/>
    <w:multiLevelType w:val="hybridMultilevel"/>
    <w:tmpl w:val="68C84326"/>
    <w:lvl w:ilvl="0" w:tplc="F710B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81"/>
    <w:rsid w:val="00053EE3"/>
    <w:rsid w:val="000548B4"/>
    <w:rsid w:val="000C58BB"/>
    <w:rsid w:val="001019B1"/>
    <w:rsid w:val="00141629"/>
    <w:rsid w:val="00150ED1"/>
    <w:rsid w:val="0016232C"/>
    <w:rsid w:val="001969B1"/>
    <w:rsid w:val="001A0A26"/>
    <w:rsid w:val="001A23BE"/>
    <w:rsid w:val="001B3013"/>
    <w:rsid w:val="00214DFA"/>
    <w:rsid w:val="00262ADF"/>
    <w:rsid w:val="00273F62"/>
    <w:rsid w:val="002B71B7"/>
    <w:rsid w:val="00303E2E"/>
    <w:rsid w:val="003158DC"/>
    <w:rsid w:val="00343A3A"/>
    <w:rsid w:val="003542F8"/>
    <w:rsid w:val="003545FC"/>
    <w:rsid w:val="003624BA"/>
    <w:rsid w:val="00384AAE"/>
    <w:rsid w:val="00392C52"/>
    <w:rsid w:val="003E331F"/>
    <w:rsid w:val="00402F0E"/>
    <w:rsid w:val="00410359"/>
    <w:rsid w:val="00427B72"/>
    <w:rsid w:val="00434CF4"/>
    <w:rsid w:val="0043793B"/>
    <w:rsid w:val="00440C7F"/>
    <w:rsid w:val="0046391B"/>
    <w:rsid w:val="00492D82"/>
    <w:rsid w:val="004C4980"/>
    <w:rsid w:val="004C4ACD"/>
    <w:rsid w:val="00536063"/>
    <w:rsid w:val="0057509B"/>
    <w:rsid w:val="005C16FD"/>
    <w:rsid w:val="005C2A9C"/>
    <w:rsid w:val="005D7DB5"/>
    <w:rsid w:val="005E01D9"/>
    <w:rsid w:val="00611B75"/>
    <w:rsid w:val="006162D2"/>
    <w:rsid w:val="00636950"/>
    <w:rsid w:val="00637C9E"/>
    <w:rsid w:val="00646BD6"/>
    <w:rsid w:val="00651044"/>
    <w:rsid w:val="006566F9"/>
    <w:rsid w:val="00662429"/>
    <w:rsid w:val="00666B0B"/>
    <w:rsid w:val="00680F0A"/>
    <w:rsid w:val="006C3075"/>
    <w:rsid w:val="006C667B"/>
    <w:rsid w:val="006E54E6"/>
    <w:rsid w:val="006F321A"/>
    <w:rsid w:val="0073722E"/>
    <w:rsid w:val="00766217"/>
    <w:rsid w:val="007679D6"/>
    <w:rsid w:val="0077086E"/>
    <w:rsid w:val="0079591B"/>
    <w:rsid w:val="007A1872"/>
    <w:rsid w:val="007B21A5"/>
    <w:rsid w:val="007B2783"/>
    <w:rsid w:val="007C1C7B"/>
    <w:rsid w:val="00802D5B"/>
    <w:rsid w:val="00896FA1"/>
    <w:rsid w:val="008D6BFB"/>
    <w:rsid w:val="008E5CC1"/>
    <w:rsid w:val="008F7B87"/>
    <w:rsid w:val="009038CB"/>
    <w:rsid w:val="0090486A"/>
    <w:rsid w:val="0094408D"/>
    <w:rsid w:val="0099607E"/>
    <w:rsid w:val="009C7DF6"/>
    <w:rsid w:val="009D5A66"/>
    <w:rsid w:val="00A55668"/>
    <w:rsid w:val="00A74181"/>
    <w:rsid w:val="00A8270E"/>
    <w:rsid w:val="00A9648A"/>
    <w:rsid w:val="00AA160E"/>
    <w:rsid w:val="00AA7AFD"/>
    <w:rsid w:val="00AC5085"/>
    <w:rsid w:val="00AC66AD"/>
    <w:rsid w:val="00AD1A20"/>
    <w:rsid w:val="00AD5386"/>
    <w:rsid w:val="00AD6078"/>
    <w:rsid w:val="00AF02B4"/>
    <w:rsid w:val="00B020FF"/>
    <w:rsid w:val="00B13CBC"/>
    <w:rsid w:val="00B163A8"/>
    <w:rsid w:val="00B22A70"/>
    <w:rsid w:val="00B51CA7"/>
    <w:rsid w:val="00B602F8"/>
    <w:rsid w:val="00B64C8E"/>
    <w:rsid w:val="00B80142"/>
    <w:rsid w:val="00B81A1D"/>
    <w:rsid w:val="00B83050"/>
    <w:rsid w:val="00B90220"/>
    <w:rsid w:val="00BE69E4"/>
    <w:rsid w:val="00C059BC"/>
    <w:rsid w:val="00C40DC2"/>
    <w:rsid w:val="00C412C8"/>
    <w:rsid w:val="00C725DD"/>
    <w:rsid w:val="00C80022"/>
    <w:rsid w:val="00CC4C73"/>
    <w:rsid w:val="00CC52C1"/>
    <w:rsid w:val="00CD0EB7"/>
    <w:rsid w:val="00D0259B"/>
    <w:rsid w:val="00D123CA"/>
    <w:rsid w:val="00D33E13"/>
    <w:rsid w:val="00D66C1F"/>
    <w:rsid w:val="00D76140"/>
    <w:rsid w:val="00DB1C65"/>
    <w:rsid w:val="00DD688E"/>
    <w:rsid w:val="00DE1431"/>
    <w:rsid w:val="00DE2F87"/>
    <w:rsid w:val="00DE68B0"/>
    <w:rsid w:val="00E24218"/>
    <w:rsid w:val="00E567FE"/>
    <w:rsid w:val="00E631B3"/>
    <w:rsid w:val="00E64BD6"/>
    <w:rsid w:val="00E73C61"/>
    <w:rsid w:val="00EA35E8"/>
    <w:rsid w:val="00EC6718"/>
    <w:rsid w:val="00EE7FF5"/>
    <w:rsid w:val="00EF58E6"/>
    <w:rsid w:val="00F0555E"/>
    <w:rsid w:val="00F61F60"/>
    <w:rsid w:val="00F76E69"/>
    <w:rsid w:val="00F9716D"/>
    <w:rsid w:val="00FA12DC"/>
    <w:rsid w:val="00FA404B"/>
    <w:rsid w:val="00FD70D1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232C1"/>
  <w15:chartTrackingRefBased/>
  <w15:docId w15:val="{86B8834F-5121-4C35-99F2-7C89CA6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1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88E"/>
  </w:style>
  <w:style w:type="paragraph" w:styleId="Piedepgina">
    <w:name w:val="footer"/>
    <w:basedOn w:val="Normal"/>
    <w:link w:val="PiedepginaCar"/>
    <w:uiPriority w:val="99"/>
    <w:unhideWhenUsed/>
    <w:rsid w:val="00DD6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8E"/>
  </w:style>
  <w:style w:type="paragraph" w:customStyle="1" w:styleId="Contingutdelmarc">
    <w:name w:val="Contingut del marc"/>
    <w:basedOn w:val="Normal"/>
    <w:qFormat/>
    <w:rsid w:val="00611B75"/>
    <w:pPr>
      <w:spacing w:after="0" w:line="240" w:lineRule="auto"/>
    </w:pPr>
    <w:rPr>
      <w:rFonts w:ascii="Roboto" w:eastAsia="NSimSun" w:hAnsi="Roboto" w:cs="Lucida Sans"/>
      <w:kern w:val="2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90BD-987C-6847-85ED-1F0CF3E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1221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FRESQUET FAYOS, RAFAEL</dc:creator>
  <cp:keywords/>
  <dc:description/>
  <cp:lastModifiedBy>Microsoft Office User</cp:lastModifiedBy>
  <cp:revision>8</cp:revision>
  <cp:lastPrinted>2022-05-30T07:10:00Z</cp:lastPrinted>
  <dcterms:created xsi:type="dcterms:W3CDTF">2022-05-30T17:28:00Z</dcterms:created>
  <dcterms:modified xsi:type="dcterms:W3CDTF">2022-06-02T13:14:00Z</dcterms:modified>
</cp:coreProperties>
</file>